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autoSpaceDE w:val="0"/>
        <w:autoSpaceDN w:val="0"/>
        <w:jc w:val="left"/>
        <w:textAlignment w:val="baseline"/>
        <w:rPr>
          <w:rFonts w:hint="default" w:ascii="ＭＳ 明朝" w:hAnsi="ＭＳ 明朝"/>
          <w:color w:val="000000"/>
          <w:kern w:val="0"/>
        </w:rPr>
      </w:pPr>
      <w:bookmarkStart w:id="0" w:name="OLE_LINK18"/>
      <w:r>
        <w:rPr>
          <w:rFonts w:hint="eastAsia" w:ascii="ＭＳ 明朝" w:hAnsi="ＭＳ 明朝"/>
          <w:color w:val="000000"/>
          <w:kern w:val="0"/>
        </w:rPr>
        <w:t>様式第二十四（第五十九条の二第二項関係）</w:t>
      </w:r>
      <w:bookmarkStart w:id="1" w:name="OLE_LINK3"/>
      <w:bookmarkStart w:id="2" w:name="OLE_LINK4"/>
    </w:p>
    <w:tbl>
      <w:tblPr>
        <w:tblStyle w:val="11"/>
        <w:tblW w:w="9073"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0"/>
        <w:gridCol w:w="1526"/>
        <w:gridCol w:w="2103"/>
        <w:gridCol w:w="5104"/>
        <w:gridCol w:w="170"/>
      </w:tblGrid>
      <w:tr>
        <w:trPr>
          <w:trHeight w:val="3799" w:hRule="atLeast"/>
        </w:trPr>
        <w:tc>
          <w:tcPr>
            <w:tcW w:w="9073"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overflowPunct w:val="0"/>
              <w:autoSpaceDE w:val="0"/>
              <w:autoSpaceDN w:val="0"/>
              <w:adjustRightInd w:val="0"/>
              <w:jc w:val="center"/>
              <w:textAlignment w:val="baseline"/>
              <w:rPr>
                <w:rFonts w:hint="default" w:ascii="ＭＳ 明朝" w:hAnsi="ＭＳ 明朝"/>
                <w:color w:val="000000"/>
                <w:kern w:val="0"/>
              </w:rPr>
            </w:pPr>
            <w:r>
              <w:rPr>
                <w:rFonts w:hint="eastAsia"/>
              </w:rPr>
              <w:t>要措置区域等に搬入された土壌に係る届出書</w:t>
            </w:r>
          </w:p>
          <w:p>
            <w:pPr>
              <w:pStyle w:val="0"/>
              <w:suppressAutoHyphens w:val="1"/>
              <w:kinsoku w:val="0"/>
              <w:overflowPunct w:val="0"/>
              <w:autoSpaceDE w:val="0"/>
              <w:autoSpaceDN w:val="0"/>
              <w:adjustRightInd w:val="0"/>
              <w:jc w:val="left"/>
              <w:textAlignment w:val="baseline"/>
              <w:rPr>
                <w:rFonts w:hint="default" w:ascii="ＭＳ 明朝" w:hAnsi="ＭＳ 明朝"/>
                <w:kern w:val="0"/>
              </w:rPr>
            </w:pPr>
          </w:p>
          <w:p>
            <w:pPr>
              <w:pStyle w:val="0"/>
              <w:suppressAutoHyphens w:val="1"/>
              <w:kinsoku w:val="0"/>
              <w:overflowPunct w:val="0"/>
              <w:autoSpaceDE w:val="0"/>
              <w:autoSpaceDN w:val="0"/>
              <w:adjustRightInd w:val="0"/>
              <w:ind w:right="420" w:rightChars="200"/>
              <w:jc w:val="right"/>
              <w:textAlignment w:val="center"/>
              <w:rPr>
                <w:rFonts w:hint="default" w:ascii="ＭＳ 明朝" w:hAnsi="ＭＳ 明朝"/>
                <w:kern w:val="0"/>
              </w:rPr>
            </w:pPr>
            <w:r>
              <w:rPr>
                <w:rFonts w:hint="eastAsia" w:ascii="ＭＳ 明朝" w:hAnsi="ＭＳ 明朝"/>
                <w:kern w:val="0"/>
              </w:rPr>
              <w:t>年　　　月　　　日</w:t>
            </w: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r>
              <w:rPr>
                <w:rFonts w:hint="eastAsia" w:ascii="Times New Roman" w:hAnsi="Times New Roman"/>
                <w:kern w:val="0"/>
              </w:rPr>
              <w:t>秋田県知事　　　　　殿</w:t>
            </w: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r>
              <w:rPr>
                <w:rFonts w:hint="eastAsia" w:ascii="Times New Roman" w:hAnsi="Times New Roman"/>
                <w:kern w:val="0"/>
              </w:rPr>
              <w:t>　　　　　　　　　　　　　　　　　　　届出者</w:t>
            </w: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r>
              <w:rPr>
                <w:rFonts w:hint="eastAsia" w:ascii="Times New Roman" w:hAnsi="Times New Roman"/>
                <w:kern w:val="0"/>
              </w:rPr>
              <w:t>　　　　　　　　　　　　　　　　　　　　住所</w:t>
            </w: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r>
              <w:rPr>
                <w:rFonts w:hint="eastAsia" w:ascii="Times New Roman" w:hAnsi="Times New Roman"/>
                <w:kern w:val="0"/>
              </w:rPr>
              <w:t>　　　　　　　　　　　　　　　　　　　　</w:t>
            </w:r>
          </w:p>
          <w:p>
            <w:pPr>
              <w:pStyle w:val="0"/>
              <w:suppressAutoHyphens w:val="1"/>
              <w:kinsoku w:val="0"/>
              <w:overflowPunct w:val="0"/>
              <w:autoSpaceDE w:val="0"/>
              <w:autoSpaceDN w:val="0"/>
              <w:adjustRightInd w:val="0"/>
              <w:ind w:left="420" w:leftChars="200" w:firstLine="4200" w:firstLineChars="2000"/>
              <w:jc w:val="left"/>
              <w:textAlignment w:val="center"/>
              <w:rPr>
                <w:rFonts w:hint="default" w:ascii="Times New Roman" w:hAnsi="Times New Roman"/>
                <w:kern w:val="0"/>
              </w:rPr>
            </w:pPr>
            <w:r>
              <w:rPr>
                <w:rFonts w:hint="eastAsia" w:ascii="Times New Roman" w:hAnsi="Times New Roman"/>
                <w:kern w:val="0"/>
              </w:rPr>
              <w:t>氏名　　　　　　　　　　　　　　　</w:t>
            </w: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r>
              <w:rPr>
                <w:rFonts w:hint="eastAsia" w:ascii="Times New Roman" w:hAnsi="Times New Roman"/>
                <w:kern w:val="0"/>
              </w:rPr>
              <w:t>　　　　　　　　　　　　　　　　　　　（法人にあっては、名称及び代表者の氏名）</w:t>
            </w:r>
          </w:p>
          <w:p>
            <w:pPr>
              <w:pStyle w:val="0"/>
              <w:suppressAutoHyphens w:val="1"/>
              <w:kinsoku w:val="0"/>
              <w:overflowPunct w:val="0"/>
              <w:autoSpaceDE w:val="0"/>
              <w:autoSpaceDN w:val="0"/>
              <w:adjustRightInd w:val="0"/>
              <w:jc w:val="right"/>
              <w:textAlignment w:val="center"/>
              <w:rPr>
                <w:rFonts w:hint="default" w:ascii="ＭＳ 明朝" w:hAnsi="ＭＳ 明朝"/>
                <w:kern w:val="0"/>
              </w:rPr>
            </w:pPr>
          </w:p>
          <w:p>
            <w:pPr>
              <w:pStyle w:val="0"/>
              <w:suppressAutoHyphens w:val="1"/>
              <w:kinsoku w:val="0"/>
              <w:overflowPunct w:val="0"/>
              <w:autoSpaceDE w:val="0"/>
              <w:autoSpaceDN w:val="0"/>
              <w:adjustRightInd w:val="0"/>
              <w:jc w:val="left"/>
              <w:textAlignment w:val="baseline"/>
              <w:rPr>
                <w:rFonts w:hint="default" w:ascii="ＭＳ 明朝" w:hAnsi="ＭＳ 明朝"/>
                <w:kern w:val="0"/>
              </w:rPr>
            </w:pPr>
          </w:p>
          <w:p>
            <w:pPr>
              <w:pStyle w:val="0"/>
              <w:suppressAutoHyphens w:val="1"/>
              <w:kinsoku w:val="0"/>
              <w:overflowPunct w:val="0"/>
              <w:autoSpaceDE w:val="0"/>
              <w:autoSpaceDN w:val="0"/>
              <w:adjustRightInd w:val="0"/>
              <w:ind w:firstLine="210" w:firstLineChars="100"/>
              <w:textAlignment w:val="baseline"/>
              <w:rPr>
                <w:rFonts w:hint="default" w:ascii="ＭＳ 明朝" w:hAnsi="ＭＳ 明朝"/>
                <w:color w:val="000000"/>
                <w:kern w:val="0"/>
              </w:rPr>
            </w:pPr>
            <w:r>
              <w:rPr>
                <w:rFonts w:hint="eastAsia" w:ascii="ＭＳ 明朝" w:hAnsi="ＭＳ 明朝"/>
                <w:color w:val="000000"/>
                <w:kern w:val="0"/>
              </w:rPr>
              <w:t>土壌汚染対策法施行規則第</w:t>
            </w:r>
            <w:r>
              <w:rPr>
                <w:rFonts w:hint="eastAsia" w:ascii="ＭＳ 明朝" w:hAnsi="ＭＳ 明朝"/>
                <w:color w:val="000000"/>
                <w:kern w:val="0"/>
              </w:rPr>
              <w:t>5</w:t>
            </w:r>
            <w:r>
              <w:rPr>
                <w:rFonts w:hint="default" w:ascii="ＭＳ 明朝" w:hAnsi="ＭＳ 明朝"/>
                <w:color w:val="000000"/>
                <w:kern w:val="0"/>
              </w:rPr>
              <w:t>9</w:t>
            </w:r>
            <w:r>
              <w:rPr>
                <w:rFonts w:hint="eastAsia" w:ascii="ＭＳ 明朝" w:hAnsi="ＭＳ 明朝"/>
                <w:color w:val="000000"/>
                <w:kern w:val="0"/>
              </w:rPr>
              <w:t>条の２第２項第３号の規定により、要措置区域等に搬入された土壌について、次のとおり届け出ます。</w:t>
            </w:r>
          </w:p>
        </w:tc>
      </w:tr>
      <w:tr>
        <w:trPr>
          <w:trHeight w:val="680" w:hRule="atLeast"/>
        </w:trPr>
        <w:tc>
          <w:tcPr>
            <w:tcW w:w="170"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c>
          <w:tcPr>
            <w:tcW w:w="3629" w:type="dxa"/>
            <w:gridSpan w:val="2"/>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color w:val="000000"/>
                <w:kern w:val="0"/>
              </w:rPr>
            </w:pPr>
            <w:r>
              <w:rPr>
                <w:rFonts w:hint="eastAsia" w:ascii="ＭＳ 明朝" w:hAnsi="ＭＳ 明朝"/>
                <w:color w:val="000000"/>
                <w:kern w:val="0"/>
              </w:rPr>
              <w:t>掘削対象地を含む</w:t>
            </w:r>
            <w:r>
              <w:rPr>
                <w:rFonts w:hint="eastAsia"/>
              </w:rPr>
              <w:t>要措置区域等</w:t>
            </w:r>
            <w:r>
              <w:rPr>
                <w:rFonts w:hint="eastAsia" w:ascii="ＭＳ 明朝" w:hAnsi="ＭＳ 明朝"/>
                <w:color w:val="000000"/>
                <w:kern w:val="0"/>
              </w:rPr>
              <w:t>の所在地</w:t>
            </w:r>
          </w:p>
        </w:tc>
        <w:tc>
          <w:tcPr>
            <w:tcW w:w="510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ＭＳ 明朝" w:hAnsi="ＭＳ 明朝"/>
                <w:color w:val="000000"/>
                <w:kern w:val="0"/>
              </w:rPr>
            </w:pPr>
          </w:p>
        </w:tc>
        <w:tc>
          <w:tcPr>
            <w:tcW w:w="170"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r>
      <w:tr>
        <w:trPr>
          <w:trHeight w:val="680" w:hRule="atLeast"/>
        </w:trPr>
        <w:tc>
          <w:tcPr>
            <w:tcW w:w="170" w:type="dxa"/>
            <w:vMerge w:val="continue"/>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c>
          <w:tcPr>
            <w:tcW w:w="3629" w:type="dxa"/>
            <w:gridSpan w:val="2"/>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color w:val="000000"/>
                <w:kern w:val="0"/>
                <w:highlight w:val="yellow"/>
              </w:rPr>
            </w:pPr>
            <w:r>
              <w:rPr>
                <w:rFonts w:hint="eastAsia" w:ascii="ＭＳ 明朝" w:hAnsi="ＭＳ 明朝"/>
                <w:color w:val="000000"/>
                <w:kern w:val="0"/>
              </w:rPr>
              <w:t>掘削対象地を含む</w:t>
            </w:r>
            <w:r>
              <w:rPr>
                <w:rFonts w:hint="eastAsia"/>
              </w:rPr>
              <w:t>要措置区域等</w:t>
            </w:r>
            <w:r>
              <w:rPr>
                <w:rFonts w:hint="eastAsia" w:ascii="ＭＳ 明朝" w:hAnsi="ＭＳ 明朝"/>
                <w:color w:val="000000"/>
                <w:kern w:val="0"/>
              </w:rPr>
              <w:t>の指定された年月日</w:t>
            </w:r>
          </w:p>
        </w:tc>
        <w:tc>
          <w:tcPr>
            <w:tcW w:w="5104" w:type="dxa"/>
            <w:tcBorders>
              <w:top w:val="single" w:color="auto" w:sz="4" w:space="0"/>
              <w:left w:val="single" w:color="auto"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ＭＳ 明朝" w:hAnsi="ＭＳ 明朝"/>
                <w:color w:val="000000"/>
                <w:kern w:val="0"/>
              </w:rPr>
            </w:pPr>
          </w:p>
        </w:tc>
        <w:tc>
          <w:tcPr>
            <w:tcW w:w="170" w:type="dxa"/>
            <w:vMerge w:val="continue"/>
            <w:tcBorders>
              <w:top w:val="nil"/>
              <w:left w:val="nil"/>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r>
      <w:tr>
        <w:trPr>
          <w:trHeight w:val="680" w:hRule="atLeast"/>
        </w:trPr>
        <w:tc>
          <w:tcPr>
            <w:tcW w:w="170" w:type="dxa"/>
            <w:vMerge w:val="continue"/>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c>
          <w:tcPr>
            <w:tcW w:w="3629"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color w:val="000000"/>
                <w:kern w:val="0"/>
                <w:highlight w:val="yellow"/>
              </w:rPr>
            </w:pPr>
            <w:r>
              <w:rPr>
                <w:rFonts w:hint="eastAsia" w:ascii="ＭＳ 明朝" w:hAnsi="ＭＳ 明朝"/>
                <w:color w:val="000000"/>
                <w:kern w:val="0"/>
              </w:rPr>
              <w:t>掘削対象地を含む</w:t>
            </w:r>
            <w:r>
              <w:rPr>
                <w:rFonts w:hint="eastAsia"/>
              </w:rPr>
              <w:t>要措置区域等における土壌の搬入の有無</w:t>
            </w:r>
          </w:p>
        </w:tc>
        <w:tc>
          <w:tcPr>
            <w:tcW w:w="5104"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ＭＳ 明朝" w:hAnsi="ＭＳ 明朝"/>
                <w:color w:val="000000"/>
                <w:kern w:val="0"/>
              </w:rPr>
            </w:pPr>
          </w:p>
        </w:tc>
        <w:tc>
          <w:tcPr>
            <w:tcW w:w="170" w:type="dxa"/>
            <w:vMerge w:val="continue"/>
            <w:tcBorders>
              <w:top w:val="nil"/>
              <w:left w:val="nil"/>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r>
      <w:tr>
        <w:trPr>
          <w:trHeight w:val="680" w:hRule="atLeast"/>
        </w:trPr>
        <w:tc>
          <w:tcPr>
            <w:tcW w:w="170" w:type="dxa"/>
            <w:vMerge w:val="continue"/>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c>
          <w:tcPr>
            <w:tcW w:w="1526"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color w:val="000000"/>
                <w:kern w:val="0"/>
              </w:rPr>
            </w:pPr>
            <w:r>
              <w:rPr>
                <w:rFonts w:hint="eastAsia" w:ascii="ＭＳ 明朝" w:hAnsi="ＭＳ 明朝"/>
                <w:color w:val="000000"/>
                <w:kern w:val="0"/>
              </w:rPr>
              <w:t>掘削対象地を含む要措置区域等に土壌が搬入された場合</w:t>
            </w:r>
          </w:p>
        </w:tc>
        <w:tc>
          <w:tcPr>
            <w:tcW w:w="210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color w:val="000000"/>
                <w:kern w:val="0"/>
              </w:rPr>
            </w:pPr>
            <w:r>
              <w:rPr>
                <w:rFonts w:hint="eastAsia" w:ascii="ＭＳ 明朝" w:hAnsi="ＭＳ 明朝"/>
                <w:color w:val="000000"/>
                <w:kern w:val="0"/>
              </w:rPr>
              <w:t>搬入された年月日</w:t>
            </w:r>
          </w:p>
        </w:tc>
        <w:tc>
          <w:tcPr>
            <w:tcW w:w="5104"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ＭＳ 明朝" w:hAnsi="ＭＳ 明朝"/>
                <w:color w:val="000000"/>
                <w:kern w:val="0"/>
              </w:rPr>
            </w:pPr>
          </w:p>
        </w:tc>
        <w:tc>
          <w:tcPr>
            <w:tcW w:w="170" w:type="dxa"/>
            <w:vMerge w:val="continue"/>
            <w:tcBorders>
              <w:top w:val="nil"/>
              <w:left w:val="nil"/>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r>
      <w:tr>
        <w:trPr>
          <w:trHeight w:val="680" w:hRule="atLeast"/>
        </w:trPr>
        <w:tc>
          <w:tcPr>
            <w:tcW w:w="170" w:type="dxa"/>
            <w:vMerge w:val="continue"/>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c>
          <w:tcPr>
            <w:tcW w:w="1526"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color w:val="000000"/>
                <w:kern w:val="0"/>
              </w:rPr>
            </w:pPr>
          </w:p>
        </w:tc>
        <w:tc>
          <w:tcPr>
            <w:tcW w:w="210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color w:val="000000"/>
                <w:kern w:val="0"/>
              </w:rPr>
            </w:pPr>
            <w:r>
              <w:rPr>
                <w:rFonts w:hint="eastAsia" w:ascii="ＭＳ 明朝" w:hAnsi="ＭＳ 明朝"/>
                <w:color w:val="000000"/>
                <w:kern w:val="0"/>
              </w:rPr>
              <w:t>搬入された土壌の量</w:t>
            </w:r>
          </w:p>
        </w:tc>
        <w:tc>
          <w:tcPr>
            <w:tcW w:w="5104"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ＭＳ 明朝" w:hAnsi="ＭＳ 明朝"/>
                <w:color w:val="000000"/>
                <w:kern w:val="0"/>
              </w:rPr>
            </w:pPr>
          </w:p>
        </w:tc>
        <w:tc>
          <w:tcPr>
            <w:tcW w:w="170" w:type="dxa"/>
            <w:vMerge w:val="continue"/>
            <w:tcBorders>
              <w:top w:val="nil"/>
              <w:left w:val="nil"/>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r>
      <w:tr>
        <w:trPr>
          <w:trHeight w:val="680" w:hRule="atLeast"/>
        </w:trPr>
        <w:tc>
          <w:tcPr>
            <w:tcW w:w="170" w:type="dxa"/>
            <w:vMerge w:val="continue"/>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c>
          <w:tcPr>
            <w:tcW w:w="1526"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color w:val="000000"/>
                <w:kern w:val="0"/>
              </w:rPr>
            </w:pPr>
          </w:p>
        </w:tc>
        <w:tc>
          <w:tcPr>
            <w:tcW w:w="210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color w:val="000000"/>
                <w:kern w:val="0"/>
              </w:rPr>
            </w:pPr>
            <w:r>
              <w:rPr>
                <w:rFonts w:hint="eastAsia" w:ascii="ＭＳ 明朝" w:hAnsi="ＭＳ 明朝"/>
                <w:color w:val="000000"/>
                <w:kern w:val="0"/>
              </w:rPr>
              <w:t>規則第</w:t>
            </w:r>
            <w:r>
              <w:rPr>
                <w:rFonts w:hint="eastAsia" w:ascii="ＭＳ 明朝" w:hAnsi="ＭＳ 明朝"/>
                <w:color w:val="000000"/>
                <w:kern w:val="0"/>
              </w:rPr>
              <w:t>40</w:t>
            </w:r>
            <w:r>
              <w:rPr>
                <w:rFonts w:hint="eastAsia" w:ascii="ＭＳ 明朝" w:hAnsi="ＭＳ 明朝"/>
                <w:color w:val="000000"/>
                <w:kern w:val="0"/>
              </w:rPr>
              <w:t>条第２項第３号に定める方法による調査の結果</w:t>
            </w:r>
          </w:p>
        </w:tc>
        <w:tc>
          <w:tcPr>
            <w:tcW w:w="5104"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ＭＳ 明朝" w:hAnsi="ＭＳ 明朝"/>
                <w:color w:val="000000"/>
                <w:kern w:val="0"/>
              </w:rPr>
            </w:pPr>
          </w:p>
        </w:tc>
        <w:tc>
          <w:tcPr>
            <w:tcW w:w="170" w:type="dxa"/>
            <w:vMerge w:val="continue"/>
            <w:tcBorders>
              <w:top w:val="nil"/>
              <w:left w:val="nil"/>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r>
      <w:tr>
        <w:trPr>
          <w:trHeight w:val="680" w:hRule="atLeast"/>
        </w:trPr>
        <w:tc>
          <w:tcPr>
            <w:tcW w:w="17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c>
          <w:tcPr>
            <w:tcW w:w="1526"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color w:val="000000"/>
                <w:kern w:val="0"/>
              </w:rPr>
            </w:pPr>
          </w:p>
        </w:tc>
        <w:tc>
          <w:tcPr>
            <w:tcW w:w="210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color w:val="000000"/>
                <w:kern w:val="0"/>
              </w:rPr>
            </w:pPr>
            <w:r>
              <w:rPr>
                <w:rFonts w:hint="eastAsia" w:ascii="ＭＳ 明朝" w:hAnsi="ＭＳ 明朝"/>
              </w:rPr>
              <w:t>分析を行った計量法第</w:t>
            </w:r>
            <w:r>
              <w:rPr>
                <w:rFonts w:hint="eastAsia" w:ascii="ＭＳ 明朝" w:hAnsi="ＭＳ 明朝"/>
              </w:rPr>
              <w:t>107</w:t>
            </w:r>
            <w:r>
              <w:rPr>
                <w:rFonts w:hint="eastAsia" w:ascii="ＭＳ 明朝" w:hAnsi="ＭＳ 明朝"/>
              </w:rPr>
              <w:t>条の登録を受けた者の氏名又は名称</w:t>
            </w:r>
          </w:p>
        </w:tc>
        <w:tc>
          <w:tcPr>
            <w:tcW w:w="5104"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ＭＳ 明朝" w:hAnsi="ＭＳ 明朝"/>
                <w:color w:val="000000"/>
                <w:kern w:val="0"/>
              </w:rPr>
            </w:pPr>
          </w:p>
        </w:tc>
        <w:tc>
          <w:tcPr>
            <w:tcW w:w="170" w:type="dxa"/>
            <w:vMerge w:val="continue"/>
            <w:tcBorders>
              <w:top w:val="nil"/>
              <w:left w:val="nil"/>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r>
      <w:tr>
        <w:trPr>
          <w:trHeight w:val="680" w:hRule="atLeast"/>
        </w:trPr>
        <w:tc>
          <w:tcPr>
            <w:tcW w:w="170" w:type="dxa"/>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c>
          <w:tcPr>
            <w:tcW w:w="1526" w:type="dxa"/>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color w:val="000000"/>
                <w:kern w:val="0"/>
              </w:rPr>
            </w:pPr>
            <w:r>
              <w:rPr>
                <w:rFonts w:hint="eastAsia" w:ascii="ＭＳ 明朝" w:hAnsi="ＭＳ 明朝"/>
                <w:color w:val="000000"/>
                <w:kern w:val="0"/>
              </w:rPr>
              <w:t>掘削対象地を含む要措置区域等に搬入された土壌が土壌溶出量基準及び土壌含有量基準に適合する場合</w:t>
            </w:r>
          </w:p>
        </w:tc>
        <w:tc>
          <w:tcPr>
            <w:tcW w:w="210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rPr>
            </w:pPr>
            <w:r>
              <w:rPr>
                <w:rFonts w:hint="eastAsia" w:ascii="ＭＳ 明朝" w:hAnsi="ＭＳ 明朝"/>
              </w:rPr>
              <w:t>当該土壌の管理方法</w:t>
            </w:r>
          </w:p>
        </w:tc>
        <w:tc>
          <w:tcPr>
            <w:tcW w:w="5104"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ＭＳ 明朝" w:hAnsi="ＭＳ 明朝"/>
                <w:color w:val="000000"/>
                <w:kern w:val="0"/>
              </w:rPr>
            </w:pPr>
          </w:p>
        </w:tc>
        <w:tc>
          <w:tcPr>
            <w:tcW w:w="170" w:type="dxa"/>
            <w:tcBorders>
              <w:top w:val="nil"/>
              <w:left w:val="nil"/>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r>
      <w:tr>
        <w:trPr>
          <w:trHeight w:val="20" w:hRule="atLeast"/>
        </w:trPr>
        <w:tc>
          <w:tcPr>
            <w:tcW w:w="9073" w:type="dxa"/>
            <w:gridSpan w:val="5"/>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r>
    </w:tbl>
    <w:p>
      <w:pPr>
        <w:pStyle w:val="0"/>
        <w:suppressAutoHyphens w:val="1"/>
        <w:autoSpaceDE w:val="0"/>
        <w:autoSpaceDN w:val="0"/>
        <w:spacing w:line="320" w:lineRule="exact"/>
        <w:ind w:left="210" w:leftChars="100"/>
        <w:jc w:val="left"/>
        <w:textAlignment w:val="baseline"/>
        <w:rPr>
          <w:rFonts w:hint="default" w:ascii="ＭＳ 明朝" w:hAnsi="ＭＳ 明朝"/>
          <w:color w:val="000000"/>
          <w:kern w:val="0"/>
        </w:rPr>
      </w:pPr>
      <w:bookmarkStart w:id="3" w:name="OLE_LINK19"/>
      <w:bookmarkStart w:id="4" w:name="OLE_LINK5"/>
      <w:bookmarkStart w:id="5" w:name="OLE_LINK6"/>
      <w:r>
        <w:rPr>
          <w:rFonts w:hint="eastAsia" w:ascii="ＭＳ 明朝" w:hAnsi="ＭＳ 明朝"/>
          <w:color w:val="000000"/>
          <w:kern w:val="0"/>
        </w:rPr>
        <w:t>備考</w:t>
      </w:r>
      <w:bookmarkStart w:id="6" w:name="_GoBack"/>
      <w:bookmarkEnd w:id="6"/>
      <w:r>
        <w:rPr>
          <w:rFonts w:hint="eastAsia" w:ascii="ＭＳ 明朝" w:hAnsi="ＭＳ 明朝"/>
          <w:color w:val="000000"/>
          <w:kern w:val="0"/>
        </w:rPr>
        <w:t>　この用紙の大きさは、日本産業規格Ａ４とすること。</w:t>
      </w:r>
    </w:p>
    <w:p>
      <w:pPr>
        <w:pStyle w:val="0"/>
        <w:spacing w:line="320" w:lineRule="exact"/>
        <w:ind w:left="1050" w:leftChars="400" w:hanging="210" w:hangingChars="100"/>
        <w:rPr>
          <w:rFonts w:hint="default"/>
        </w:rPr>
      </w:pPr>
      <w:bookmarkEnd w:id="0"/>
      <w:bookmarkEnd w:id="3"/>
      <w:bookmarkEnd w:id="1"/>
      <w:bookmarkEnd w:id="2"/>
      <w:bookmarkEnd w:id="4"/>
      <w:bookmarkEnd w:id="5"/>
    </w:p>
    <w:sectPr>
      <w:pgSz w:w="11906" w:h="16838"/>
      <w:pgMar w:top="1134" w:right="1304" w:bottom="851" w:left="130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Title"/>
    <w:basedOn w:val="0"/>
    <w:next w:val="0"/>
    <w:link w:val="16"/>
    <w:uiPriority w:val="0"/>
    <w:qFormat/>
    <w:pPr>
      <w:spacing w:before="240" w:beforeLines="0" w:beforeAutospacing="0" w:after="120" w:afterLines="0" w:afterAutospacing="0"/>
      <w:jc w:val="center"/>
      <w:outlineLvl w:val="0"/>
    </w:pPr>
    <w:rPr>
      <w:rFonts w:ascii="Arial" w:hAnsi="Arial" w:eastAsia="ＭＳ ゴシック"/>
      <w:b w:val="1"/>
      <w:sz w:val="24"/>
    </w:rPr>
  </w:style>
  <w:style w:type="character" w:styleId="16" w:customStyle="1">
    <w:name w:val="表題 (文字)"/>
    <w:next w:val="16"/>
    <w:link w:val="15"/>
    <w:uiPriority w:val="0"/>
    <w:rPr>
      <w:rFonts w:ascii="Arial" w:hAnsi="Arial" w:eastAsia="ＭＳ ゴシック"/>
      <w:b w:val="1"/>
      <w:kern w:val="2"/>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72</Words>
  <Characters>413</Characters>
  <Application>JUST Note</Application>
  <Lines>3</Lines>
  <Paragraphs>1</Paragraphs>
  <CharactersWithSpaces>484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2019-08-13T08:38:00Z</dcterms:created>
  <dcterms:modified xsi:type="dcterms:W3CDTF">2020-04-09T04:22:45Z</dcterms:modified>
  <cp:revision>1</cp:revision>
</cp:coreProperties>
</file>